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p>
    <w:p w14:paraId="70B01BF7" w14:textId="62901783"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eastAsia="en-GB"/>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46"/>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2C15FF"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val="en-GB" w:eastAsia="en-GB"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177DD5"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46"/>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2C15FF"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val="en-GB" w:eastAsia="en-GB"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150E13">
        <w:rPr>
          <w:rFonts w:ascii="Aptos Narrow" w:hAnsi="Aptos Narrow"/>
          <w:b/>
          <w:bCs/>
          <w:noProof/>
          <w:color w:val="002060"/>
          <w:sz w:val="20"/>
          <w:szCs w:val="20"/>
          <w:lang w:val="ro-RO"/>
        </w:rPr>
        <w:t>Anexa</w:t>
      </w:r>
      <w:bookmarkStart w:id="0" w:name="_GoBack"/>
      <w:bookmarkEnd w:id="0"/>
      <w:r w:rsidR="006736E6" w:rsidRPr="00666120">
        <w:rPr>
          <w:rFonts w:ascii="Aptos Narrow" w:hAnsi="Aptos Narrow"/>
          <w:b/>
          <w:bCs/>
          <w:noProof/>
          <w:color w:val="002060"/>
          <w:sz w:val="20"/>
          <w:szCs w:val="20"/>
          <w:lang w:val="ro-RO"/>
        </w:rPr>
        <w:t xml:space="preserve">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EndPr/>
        <w:sdtContent>
          <w:r w:rsidR="000F74BC" w:rsidRPr="00666120">
            <w:rPr>
              <w:rFonts w:ascii="Aptos Narrow" w:hAnsi="Aptos Narrow"/>
              <w:b/>
              <w:bCs/>
              <w:noProof/>
              <w:color w:val="002060"/>
              <w:sz w:val="20"/>
              <w:szCs w:val="20"/>
              <w:lang w:val="ro-RO"/>
            </w:rPr>
            <w:t>HCL</w:t>
          </w:r>
        </w:sdtContent>
      </w:sdt>
      <w:r w:rsidR="00D13ADD">
        <w:rPr>
          <w:rFonts w:ascii="Aptos Narrow" w:hAnsi="Aptos Narrow"/>
          <w:b/>
          <w:bCs/>
          <w:noProof/>
          <w:color w:val="002060"/>
          <w:sz w:val="20"/>
          <w:szCs w:val="20"/>
          <w:lang w:val="ro-RO"/>
        </w:rPr>
        <w:t xml:space="preserve"> nr. 42/2025</w:t>
      </w:r>
      <w:r w:rsidR="008A1B9A" w:rsidRPr="00666120">
        <w:rPr>
          <w:rFonts w:ascii="Aptos Narrow" w:hAnsi="Aptos Narrow"/>
          <w:b/>
          <w:bCs/>
          <w:noProof/>
          <w:sz w:val="20"/>
          <w:szCs w:val="20"/>
          <w:lang w:val="ro-RO"/>
        </w:rPr>
        <w:br w:type="page"/>
      </w:r>
    </w:p>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OCHeading"/>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2C15FF">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2C15FF">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Heading1"/>
        <w:spacing w:before="40" w:after="80"/>
        <w:jc w:val="center"/>
        <w:rPr>
          <w:rFonts w:ascii="Aptos Narrow" w:hAnsi="Aptos Narrow" w:cs="Times New Roman"/>
          <w:b w:val="0"/>
          <w:bCs/>
          <w:noProof/>
          <w:color w:val="002060"/>
          <w:sz w:val="24"/>
          <w:szCs w:val="24"/>
          <w:lang w:val="ro-RO"/>
        </w:rPr>
      </w:pPr>
      <w:bookmarkStart w:id="1" w:name="_Toc143516976"/>
      <w:bookmarkStart w:id="2"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3" w:name="_DISPOZIȚII_GENERALE"/>
      <w:bookmarkStart w:id="4" w:name="_Toc121771535"/>
      <w:bookmarkStart w:id="5" w:name="_Toc143516977"/>
      <w:bookmarkStart w:id="6" w:name="_Toc204786918"/>
      <w:bookmarkEnd w:id="1"/>
      <w:bookmarkEnd w:id="3"/>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2"/>
      <w:bookmarkEnd w:id="4"/>
      <w:bookmarkEnd w:id="5"/>
      <w:bookmarkEnd w:id="6"/>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7" w:name="_Toc143516978"/>
    <w:bookmarkStart w:id="8" w:name="_Toc212111796"/>
    <w:bookmarkStart w:id="9" w:name="_Toc118200118"/>
    <w:bookmarkStart w:id="10" w:name="_Toc119518923"/>
    <w:p w14:paraId="3017A40F" w14:textId="5692E55E" w:rsidR="00AD15C3"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7"/>
      <w:r w:rsidR="002A022F" w:rsidRPr="00666120">
        <w:rPr>
          <w:rFonts w:ascii="Aptos Narrow" w:hAnsi="Aptos Narrow" w:cs="Times New Roman"/>
          <w:b/>
          <w:bCs/>
          <w:i/>
          <w:iCs/>
          <w:noProof/>
          <w:color w:val="1F4E79" w:themeColor="accent5" w:themeShade="80"/>
          <w:sz w:val="22"/>
          <w:szCs w:val="22"/>
          <w:lang w:val="ro-RO"/>
        </w:rPr>
        <w:t xml:space="preserve"> - </w:t>
      </w:r>
      <w:bookmarkStart w:id="11" w:name="_Toc204786920"/>
      <w:r w:rsidR="002A022F" w:rsidRPr="00666120">
        <w:rPr>
          <w:rFonts w:ascii="Aptos Narrow" w:hAnsi="Aptos Narrow" w:cs="Times New Roman"/>
          <w:b/>
          <w:bCs/>
          <w:i/>
          <w:iCs/>
          <w:noProof/>
          <w:color w:val="1F4E79" w:themeColor="accent5" w:themeShade="80"/>
          <w:sz w:val="22"/>
          <w:szCs w:val="22"/>
          <w:lang w:val="ro-RO"/>
        </w:rPr>
        <w:t>D</w:t>
      </w:r>
      <w:bookmarkStart w:id="12"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8"/>
      <w:bookmarkEnd w:id="11"/>
      <w:bookmarkEnd w:id="12"/>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3" w:name="_Domeniul_de_aplicare"/>
      <w:bookmarkEnd w:id="9"/>
      <w:bookmarkEnd w:id="10"/>
      <w:bookmarkEnd w:id="13"/>
    </w:p>
    <w:p w14:paraId="501F1C83" w14:textId="0D5FD365" w:rsidR="000C326F" w:rsidRPr="00666120" w:rsidRDefault="000C326F"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tratarea mecano-biologică a deşeurilor reziduale în instalaţiile de tratare mecano-biologice sau, după caz, în instalaţiile integrate de tratare, inclusiv transportul deşeurilor stabilizate biologic şi al deşeurilor reziduale 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ph"/>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lastRenderedPageBreak/>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privind modalitatea de gestionare a ambalajelor şi a deşeurilor de ambalaje, cu modificările şi 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ph"/>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ph"/>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ph"/>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cerințelor generale ale legislației alimentare, de instituire a Autorității Europene pentru Siguranța </w:t>
      </w:r>
      <w:r w:rsidRPr="00666120">
        <w:rPr>
          <w:rFonts w:ascii="Aptos Narrow" w:hAnsi="Aptos Narrow" w:cs="Times New Roman"/>
          <w:bCs/>
          <w:color w:val="002060"/>
          <w:sz w:val="20"/>
          <w:szCs w:val="20"/>
        </w:rPr>
        <w:lastRenderedPageBreak/>
        <w:t>Alimentară și de stabilire a procedurilor în domeniul siguranței produselor alimentare care au devenit deșeuri;</w:t>
      </w:r>
    </w:p>
    <w:p w14:paraId="02DD13A4" w14:textId="79B345EF"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lastRenderedPageBreak/>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4" w:name="_Toc143516980"/>
    <w:bookmarkStart w:id="15" w:name="_Toc212111797"/>
    <w:p w14:paraId="0D4AE9D9" w14:textId="63760ED6" w:rsidR="003B0406"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4"/>
      <w:r w:rsidR="002A022F" w:rsidRPr="00666120">
        <w:rPr>
          <w:rFonts w:ascii="Aptos Narrow" w:hAnsi="Aptos Narrow" w:cs="Times New Roman"/>
          <w:b/>
          <w:bCs/>
          <w:i/>
          <w:iCs/>
          <w:noProof/>
          <w:color w:val="1F4E79" w:themeColor="accent5" w:themeShade="80"/>
          <w:sz w:val="22"/>
          <w:szCs w:val="22"/>
          <w:lang w:val="ro-RO"/>
        </w:rPr>
        <w:t xml:space="preserve"> </w:t>
      </w:r>
      <w:bookmarkStart w:id="16" w:name="_Toc143516981"/>
      <w:bookmarkStart w:id="17"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5"/>
      <w:bookmarkEnd w:id="16"/>
      <w:bookmarkEnd w:id="17"/>
    </w:p>
    <w:p w14:paraId="3F656B2C" w14:textId="25114F5B" w:rsidR="0056559B" w:rsidRPr="00666120" w:rsidRDefault="0056559B" w:rsidP="008E07DA">
      <w:pPr>
        <w:spacing w:before="40" w:after="80"/>
        <w:rPr>
          <w:rFonts w:ascii="Aptos Narrow" w:hAnsi="Aptos Narrow"/>
          <w:noProof/>
          <w:sz w:val="20"/>
          <w:szCs w:val="20"/>
          <w:lang w:val="ro-RO"/>
        </w:rPr>
      </w:pPr>
      <w:bookmarkStart w:id="18" w:name="_Accesul_la_serviciul"/>
      <w:bookmarkEnd w:id="18"/>
    </w:p>
    <w:p w14:paraId="0031FECE"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lastRenderedPageBreak/>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9" w:name="_Toc143516982"/>
    <w:bookmarkStart w:id="20" w:name="_Toc212111798"/>
    <w:p w14:paraId="688C43D3" w14:textId="38AFF7BE" w:rsidR="000B06A2" w:rsidRPr="00666120" w:rsidRDefault="0086774E"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9"/>
      <w:r w:rsidR="002A022F" w:rsidRPr="00666120">
        <w:rPr>
          <w:rFonts w:ascii="Aptos Narrow" w:hAnsi="Aptos Narrow" w:cs="Times New Roman"/>
          <w:b/>
          <w:bCs/>
          <w:i/>
          <w:iCs/>
          <w:noProof/>
          <w:color w:val="1F4E79" w:themeColor="accent5" w:themeShade="80"/>
          <w:sz w:val="22"/>
          <w:szCs w:val="22"/>
          <w:lang w:val="ro-RO"/>
        </w:rPr>
        <w:t xml:space="preserve"> - </w:t>
      </w:r>
      <w:bookmarkStart w:id="21" w:name="_Toc143516983"/>
      <w:bookmarkStart w:id="22"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20"/>
      <w:bookmarkEnd w:id="21"/>
      <w:bookmarkEnd w:id="22"/>
    </w:p>
    <w:p w14:paraId="190A60C1" w14:textId="0A53BD23" w:rsidR="00F95F39" w:rsidRPr="00666120" w:rsidRDefault="00F95F39" w:rsidP="008E07DA">
      <w:pPr>
        <w:spacing w:before="40" w:after="80"/>
        <w:rPr>
          <w:rFonts w:ascii="Aptos Narrow" w:hAnsi="Aptos Narrow"/>
          <w:noProof/>
          <w:sz w:val="20"/>
          <w:szCs w:val="20"/>
          <w:lang w:val="ro-RO"/>
        </w:rPr>
      </w:pPr>
      <w:bookmarkStart w:id="23" w:name="_Documentația_tehnică"/>
      <w:bookmarkEnd w:id="23"/>
    </w:p>
    <w:p w14:paraId="03A8D560" w14:textId="4672AA58"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regulamentul de organizare şi funcţionare şi atribuţiile de serviciu pentru întreg personalul;</w:t>
      </w:r>
    </w:p>
    <w:p w14:paraId="76EDBC23"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ph"/>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ph"/>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eastAsia="en-GB"/>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4" w:name="_Îndatoririle_personalului_administr"/>
      <w:bookmarkEnd w:id="24"/>
      <w:r w:rsidR="002A022F" w:rsidRPr="00666120">
        <w:rPr>
          <w:rFonts w:ascii="Aptos Narrow" w:hAnsi="Aptos Narrow"/>
          <w:b/>
          <w:bCs/>
          <w:i/>
          <w:iCs/>
          <w:noProof/>
          <w:color w:val="1F4E79" w:themeColor="accent5" w:themeShade="80"/>
          <w:sz w:val="22"/>
          <w:szCs w:val="22"/>
          <w:lang w:val="ro-RO"/>
        </w:rPr>
        <w:t xml:space="preserve"> - </w:t>
      </w:r>
      <w:bookmarkStart w:id="25"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5"/>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interne, graficele/diagramele de lucru şi dispoziţiile personalului ierarhic superior pe linie operativă sau tehnică-administrativă.</w:t>
      </w:r>
    </w:p>
    <w:p w14:paraId="7355A241" w14:textId="2E22E7B5" w:rsidR="00B879EC" w:rsidRPr="00666120" w:rsidRDefault="00B879EC"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lastRenderedPageBreak/>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6" w:name="_CAPITOLUL_II"/>
      <w:bookmarkStart w:id="27" w:name="_Toc143516985"/>
      <w:bookmarkStart w:id="28" w:name="_Toc212111799"/>
      <w:bookmarkEnd w:id="26"/>
      <w:r w:rsidRPr="00666120">
        <w:rPr>
          <w:rFonts w:ascii="Aptos Narrow" w:hAnsi="Aptos Narrow" w:cs="Times New Roman"/>
          <w:noProof/>
          <w:color w:val="002060"/>
          <w:sz w:val="24"/>
          <w:szCs w:val="24"/>
          <w:lang w:val="ro-RO"/>
        </w:rPr>
        <w:lastRenderedPageBreak/>
        <w:t>CAPITOLUL II</w:t>
      </w:r>
      <w:bookmarkStart w:id="29" w:name="_Toc143516986"/>
      <w:bookmarkEnd w:id="27"/>
      <w:bookmarkEnd w:id="28"/>
    </w:p>
    <w:p w14:paraId="323044D6" w14:textId="518FFDD0" w:rsidR="00E34118"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30" w:name="_Toc204786927"/>
      <w:bookmarkStart w:id="31" w:name="_Toc212111800"/>
      <w:r w:rsidRPr="00666120">
        <w:rPr>
          <w:rFonts w:ascii="Aptos Narrow" w:hAnsi="Aptos Narrow" w:cs="Times New Roman"/>
          <w:noProof/>
          <w:color w:val="002060"/>
          <w:sz w:val="24"/>
          <w:szCs w:val="24"/>
          <w:lang w:val="ro-RO"/>
        </w:rPr>
        <w:t>ASIGURAREA SERVICIULUI DE SALUBRIZARE ȘI CONDIȚII DE FUNCȚIONARE</w:t>
      </w:r>
      <w:bookmarkEnd w:id="29"/>
      <w:bookmarkEnd w:id="30"/>
      <w:bookmarkEnd w:id="31"/>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2" w:name="_Toc143516987"/>
    <w:bookmarkStart w:id="33" w:name="_Toc212111801"/>
    <w:p w14:paraId="209E6A93" w14:textId="26F2F0EE" w:rsidR="00E34118" w:rsidRPr="00666120" w:rsidRDefault="0031308D"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4" w:name="_Colectarea_separată_și"/>
      <w:bookmarkEnd w:id="32"/>
      <w:bookmarkEnd w:id="34"/>
      <w:r w:rsidR="002A022F" w:rsidRPr="00666120">
        <w:rPr>
          <w:rFonts w:ascii="Aptos Narrow" w:hAnsi="Aptos Narrow" w:cs="Times New Roman"/>
          <w:b/>
          <w:bCs/>
          <w:i/>
          <w:iCs/>
          <w:noProof/>
          <w:color w:val="1F4E79" w:themeColor="accent5" w:themeShade="80"/>
          <w:sz w:val="22"/>
          <w:szCs w:val="22"/>
          <w:lang w:val="ro-RO"/>
        </w:rPr>
        <w:t xml:space="preserve"> - </w:t>
      </w:r>
      <w:bookmarkStart w:id="35"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3"/>
      <w:bookmarkEnd w:id="35"/>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ph"/>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ph"/>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ph"/>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ph"/>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lastRenderedPageBreak/>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ph"/>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w:t>
      </w:r>
      <w:r w:rsidRPr="00666120">
        <w:rPr>
          <w:rFonts w:ascii="Aptos Narrow" w:hAnsi="Aptos Narrow"/>
          <w:bCs/>
          <w:color w:val="002060"/>
          <w:sz w:val="20"/>
          <w:szCs w:val="20"/>
          <w:shd w:val="clear" w:color="auto" w:fill="FFFFFF"/>
        </w:rPr>
        <w:lastRenderedPageBreak/>
        <w:t xml:space="preserve">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ph"/>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Colectarea deşeurilor periculoase menajere se va realiza în cadrul campaniilor de colectare, la frecvenţa cerută prin caietul de sarcini, din punctele/spaţiile special amenajate şi dotate cu recipiente specifice pentru colectarea acestor deşeuri, stabilite de operator împreună cu delegatarul.</w:t>
      </w:r>
    </w:p>
    <w:p w14:paraId="2CDC27D4" w14:textId="14F0B2EE"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ph"/>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va transporta deşeurile textile colectate la baza sa de lucru în vederea stocării temporare.</w:t>
      </w:r>
    </w:p>
    <w:p w14:paraId="5006F5C9" w14:textId="1019B81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Operatorul va asigura sortarea/valorificarea deşeurilor voluminoase stocate temporar, pe baza contractelor încheiate cu operatorul instalaţiilor autorizate de sortare/valorificare a deşeurilor </w:t>
      </w:r>
      <w:r w:rsidRPr="00666120">
        <w:rPr>
          <w:rFonts w:ascii="Aptos Narrow" w:hAnsi="Aptos Narrow"/>
          <w:bCs/>
          <w:color w:val="002060"/>
          <w:sz w:val="20"/>
          <w:szCs w:val="20"/>
        </w:rPr>
        <w:lastRenderedPageBreak/>
        <w:t>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fluidizarea traficului pe traseele cu trafic intens străbătute de autospeciale, autorităţile administraţiei publice locale vor analiza oportunitatea colectării deşeurilor municipale în intervalul 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ph"/>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ph"/>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Prevederile specifice activității de colectare separată și transport separat al deșeurilor menajere și al deșeurilor similare provenind din activități comerciale, industriale și instituții, inclusiv a fracțiilor 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6" w:name="_SECȚIUNEA_a_2-a"/>
    <w:bookmarkStart w:id="37" w:name="_Toc143516989"/>
    <w:bookmarkStart w:id="38" w:name="_Toc212111802"/>
    <w:bookmarkEnd w:id="36"/>
    <w:p w14:paraId="4EB12A1A" w14:textId="76915F25" w:rsidR="00EC4315" w:rsidRPr="00666120" w:rsidRDefault="005C20AC"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w:lastRenderedPageBreak/>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7"/>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8"/>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cantităţilor de deşeuri aflate în spaţiile de stocare temporară, pe categorii de deşeuri.</w:t>
      </w:r>
    </w:p>
    <w:p w14:paraId="2C6B7F18"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9" w:name="_Toc212111803"/>
    <w:p w14:paraId="538EB48A" w14:textId="4D3B37C5" w:rsidR="007B78FD" w:rsidRPr="00666120" w:rsidRDefault="004B0BF5"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9"/>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cantitatea totală de deșeuri recepționată, de la fiecare operator, pe fiecare fracție/categorie de deșeuri;</w:t>
      </w:r>
    </w:p>
    <w:p w14:paraId="255BE864"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40" w:name="_SECȚIUNEA_a_15-a"/>
    <w:bookmarkStart w:id="41" w:name="_Toc143516998"/>
    <w:bookmarkStart w:id="42" w:name="_Toc212111804"/>
    <w:bookmarkEnd w:id="40"/>
    <w:p w14:paraId="23775BCC" w14:textId="09C3DDCD" w:rsidR="001A19FD" w:rsidRPr="00666120" w:rsidRDefault="00A66AD9"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1"/>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2"/>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ph"/>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ph"/>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ph"/>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ph"/>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3" w:name="_Toc212111805"/>
    <w:p w14:paraId="20C95553" w14:textId="10E5C1D3" w:rsidR="00EF315F" w:rsidRPr="00666120" w:rsidRDefault="00EF315F"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3"/>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4" w:name="_Toc212111806"/>
    <w:p w14:paraId="79461F53" w14:textId="5E56D1FC" w:rsidR="00037737" w:rsidRPr="00666120" w:rsidRDefault="00037737"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4"/>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ph"/>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ph"/>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Fracţia inertă rezultată din procesul de tratare biologică poate fi pregătită şi transformată prin procedee de tratare suplimentare în produs RDF/SRF cu potenţial de valorificare energetică, utilizat </w:t>
      </w:r>
      <w:r w:rsidRPr="00666120">
        <w:rPr>
          <w:rFonts w:ascii="Aptos Narrow" w:hAnsi="Aptos Narrow" w:cs="Times New Roman"/>
          <w:bCs/>
          <w:color w:val="002060"/>
          <w:sz w:val="20"/>
          <w:szCs w:val="20"/>
        </w:rPr>
        <w:lastRenderedPageBreak/>
        <w:t>drept combustibil alternativ în instalaţii de incinerare şi coincinerare, dar şi în alte sectoare care produc căldură/energie.</w:t>
      </w:r>
    </w:p>
    <w:p w14:paraId="06325A05" w14:textId="46B3845B"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ph"/>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ph"/>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transportată pentru eliminare la depozit şi/sau la instalaţiile de valorificare energetică;</w:t>
      </w:r>
    </w:p>
    <w:p w14:paraId="033CF13A" w14:textId="1C7B06C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5" w:name="_Secțiunea_a_17-a"/>
    <w:bookmarkStart w:id="46" w:name="_Toc143517000"/>
    <w:bookmarkStart w:id="47" w:name="_Toc212111807"/>
    <w:bookmarkEnd w:id="45"/>
    <w:p w14:paraId="2F1ACBDE" w14:textId="39DE3F9A" w:rsidR="001A19FD" w:rsidRPr="00666120" w:rsidRDefault="004217C8"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7"/>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w:t>
      </w:r>
      <w:r w:rsidRPr="00666120">
        <w:rPr>
          <w:rFonts w:ascii="Aptos Narrow" w:hAnsi="Aptos Narrow" w:cs="Times New Roman"/>
          <w:bCs/>
          <w:color w:val="002060"/>
          <w:sz w:val="20"/>
          <w:szCs w:val="20"/>
        </w:rPr>
        <w:lastRenderedPageBreak/>
        <w:t>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ph"/>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ph"/>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Heading1"/>
        <w:spacing w:before="40" w:after="80"/>
        <w:jc w:val="center"/>
        <w:rPr>
          <w:rFonts w:ascii="Aptos Narrow" w:hAnsi="Aptos Narrow" w:cs="Times New Roman"/>
          <w:noProof/>
          <w:color w:val="002060"/>
          <w:sz w:val="24"/>
          <w:szCs w:val="24"/>
          <w:lang w:val="ro-RO"/>
        </w:rPr>
      </w:pPr>
      <w:bookmarkStart w:id="48" w:name="_Toc143517001"/>
      <w:bookmarkStart w:id="49" w:name="_Toc212111808"/>
      <w:r w:rsidRPr="00666120">
        <w:rPr>
          <w:rFonts w:ascii="Aptos Narrow" w:hAnsi="Aptos Narrow" w:cs="Times New Roman"/>
          <w:noProof/>
          <w:color w:val="002060"/>
          <w:sz w:val="24"/>
          <w:szCs w:val="24"/>
          <w:lang w:val="ro-RO"/>
        </w:rPr>
        <w:lastRenderedPageBreak/>
        <w:t>CAPITOLUL III</w:t>
      </w:r>
      <w:bookmarkEnd w:id="48"/>
      <w:bookmarkEnd w:id="49"/>
    </w:p>
    <w:p w14:paraId="78569F4F" w14:textId="2E2A8C44" w:rsidR="00F07CF1" w:rsidRPr="00666120" w:rsidRDefault="00DB74AE" w:rsidP="008E07DA">
      <w:pPr>
        <w:pStyle w:val="Heading1"/>
        <w:spacing w:before="40" w:after="80"/>
        <w:jc w:val="center"/>
        <w:rPr>
          <w:rFonts w:ascii="Aptos Narrow" w:hAnsi="Aptos Narrow" w:cs="Times New Roman"/>
          <w:noProof/>
          <w:color w:val="002060"/>
          <w:sz w:val="24"/>
          <w:szCs w:val="24"/>
          <w:lang w:val="ro-RO"/>
        </w:rPr>
      </w:pPr>
      <w:bookmarkStart w:id="50" w:name="_DREPTURI_ȘI_OBLIGAȚII"/>
      <w:bookmarkStart w:id="51" w:name="_Toc204786935"/>
      <w:bookmarkStart w:id="52" w:name="_Toc212111809"/>
      <w:bookmarkEnd w:id="50"/>
      <w:r w:rsidRPr="00666120">
        <w:rPr>
          <w:rFonts w:ascii="Aptos Narrow" w:hAnsi="Aptos Narrow" w:cs="Times New Roman"/>
          <w:noProof/>
          <w:color w:val="002060"/>
          <w:sz w:val="24"/>
          <w:szCs w:val="24"/>
          <w:lang w:val="ro-RO"/>
        </w:rPr>
        <w:t>DREPTURI ȘI OBLIGAȚII</w:t>
      </w:r>
      <w:bookmarkEnd w:id="51"/>
      <w:bookmarkEnd w:id="52"/>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3" w:name="_Toc143517003"/>
    <w:bookmarkStart w:id="54" w:name="_Toc212111810"/>
    <w:p w14:paraId="7D946BE0" w14:textId="33217B18" w:rsidR="00830BC5" w:rsidRPr="00666120" w:rsidRDefault="00EA5546"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5" w:name="_Drepturile_și_obligațiile"/>
      <w:bookmarkEnd w:id="53"/>
      <w:bookmarkEnd w:id="55"/>
      <w:r w:rsidR="00BB6498" w:rsidRPr="00666120">
        <w:rPr>
          <w:rFonts w:ascii="Aptos Narrow" w:hAnsi="Aptos Narrow" w:cs="Times New Roman"/>
          <w:b/>
          <w:bCs/>
          <w:i/>
          <w:iCs/>
          <w:noProof/>
          <w:color w:val="1F4E79" w:themeColor="accent5" w:themeShade="80"/>
          <w:sz w:val="22"/>
          <w:szCs w:val="22"/>
          <w:lang w:val="ro-RO"/>
        </w:rPr>
        <w:t xml:space="preserve"> - </w:t>
      </w:r>
      <w:bookmarkStart w:id="56"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4"/>
      <w:bookmarkEnd w:id="56"/>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7" w:name="_Toc212111811"/>
    <w:p w14:paraId="081BFEBD" w14:textId="670C485C" w:rsidR="00C61361" w:rsidRPr="00666120" w:rsidRDefault="007E752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eastAsia="en-GB"/>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8" w:name="_Drepturile_și_obligațiile_1"/>
      <w:bookmarkEnd w:id="58"/>
      <w:r w:rsidR="00BB6498" w:rsidRPr="00666120">
        <w:rPr>
          <w:rFonts w:ascii="Aptos Narrow" w:hAnsi="Aptos Narrow" w:cs="Times New Roman"/>
          <w:b/>
          <w:bCs/>
          <w:i/>
          <w:iCs/>
          <w:noProof/>
          <w:color w:val="1F4E79" w:themeColor="accent5" w:themeShade="80"/>
          <w:sz w:val="22"/>
          <w:szCs w:val="22"/>
          <w:lang w:val="ro-RO"/>
        </w:rPr>
        <w:t xml:space="preserve"> - </w:t>
      </w:r>
      <w:bookmarkStart w:id="59"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7"/>
      <w:bookmarkEnd w:id="59"/>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(4) La încheierea contractului de prestări servicii, se vor menţiona obligatoriu frecvenţa şi zilele de colectare aferente fiecărei fracţii de deşeuri, precum şi tarifele aplicate de operator la data semnării 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lastRenderedPageBreak/>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0"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60"/>
    </w:p>
    <w:p w14:paraId="24D8CE49" w14:textId="287BE702"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1" w:name="_DETERMINAREA_CANTITĂȚILOR_ȘI"/>
      <w:bookmarkStart w:id="62" w:name="_Toc204786941"/>
      <w:bookmarkStart w:id="63" w:name="_Toc212111813"/>
      <w:bookmarkEnd w:id="61"/>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2"/>
      <w:bookmarkEnd w:id="63"/>
    </w:p>
    <w:p w14:paraId="40F94923" w14:textId="77777777" w:rsidR="00867BA3" w:rsidRPr="00666120" w:rsidRDefault="00867BA3" w:rsidP="008E07DA">
      <w:pPr>
        <w:pStyle w:val="ListParagraph"/>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Heading1"/>
        <w:spacing w:before="40" w:after="80"/>
        <w:jc w:val="center"/>
        <w:rPr>
          <w:rFonts w:ascii="Aptos Narrow" w:hAnsi="Aptos Narrow" w:cs="Times New Roman"/>
          <w:noProof/>
          <w:color w:val="002060"/>
          <w:sz w:val="24"/>
          <w:szCs w:val="24"/>
          <w:lang w:val="ro-RO"/>
        </w:rPr>
      </w:pPr>
      <w:bookmarkStart w:id="64"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4"/>
    </w:p>
    <w:p w14:paraId="7E2E37C9" w14:textId="0E3FAFA3" w:rsidR="00664805" w:rsidRPr="00666120" w:rsidRDefault="00112906" w:rsidP="008E07DA">
      <w:pPr>
        <w:pStyle w:val="Heading1"/>
        <w:spacing w:before="40" w:after="80"/>
        <w:jc w:val="center"/>
        <w:rPr>
          <w:rFonts w:ascii="Aptos Narrow" w:hAnsi="Aptos Narrow" w:cs="Times New Roman"/>
          <w:noProof/>
          <w:color w:val="002060"/>
          <w:sz w:val="24"/>
          <w:szCs w:val="24"/>
          <w:lang w:val="ro-RO"/>
        </w:rPr>
      </w:pPr>
      <w:bookmarkStart w:id="65" w:name="_INDICATORI_DE_PERFORMANȚĂ"/>
      <w:bookmarkStart w:id="66" w:name="_Toc204786943"/>
      <w:bookmarkStart w:id="67" w:name="_Toc212111815"/>
      <w:bookmarkEnd w:id="65"/>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6"/>
      <w:bookmarkEnd w:id="67"/>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ph"/>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Heading1"/>
        <w:spacing w:before="40" w:after="80"/>
        <w:jc w:val="center"/>
        <w:rPr>
          <w:rFonts w:ascii="Aptos Narrow" w:hAnsi="Aptos Narrow" w:cs="Times New Roman"/>
          <w:noProof/>
          <w:color w:val="002060"/>
          <w:sz w:val="24"/>
          <w:szCs w:val="24"/>
          <w:lang w:val="ro-RO"/>
        </w:rPr>
      </w:pPr>
      <w:bookmarkStart w:id="68"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8"/>
    </w:p>
    <w:p w14:paraId="0E794DAA" w14:textId="6A86EB01" w:rsidR="00F14B0B" w:rsidRPr="00666120" w:rsidRDefault="00214F52" w:rsidP="008E07DA">
      <w:pPr>
        <w:pStyle w:val="Heading1"/>
        <w:spacing w:before="40" w:after="80"/>
        <w:jc w:val="center"/>
        <w:rPr>
          <w:rFonts w:ascii="Aptos Narrow" w:hAnsi="Aptos Narrow" w:cs="Times New Roman"/>
          <w:noProof/>
          <w:color w:val="002060"/>
          <w:sz w:val="24"/>
          <w:szCs w:val="24"/>
          <w:lang w:val="ro-RO"/>
        </w:rPr>
      </w:pPr>
      <w:bookmarkStart w:id="69" w:name="_DISPOZIȚII_TRANZITORII_ȘI"/>
      <w:bookmarkStart w:id="70" w:name="_Toc204786945"/>
      <w:bookmarkStart w:id="71" w:name="_Toc212111817"/>
      <w:bookmarkEnd w:id="69"/>
      <w:r w:rsidRPr="00666120">
        <w:rPr>
          <w:rFonts w:ascii="Aptos Narrow" w:hAnsi="Aptos Narrow" w:cs="Times New Roman"/>
          <w:noProof/>
          <w:color w:val="002060"/>
          <w:sz w:val="24"/>
          <w:szCs w:val="24"/>
          <w:lang w:val="ro-RO"/>
        </w:rPr>
        <w:t>DISPOZIȚII TRANZITORII ȘI FINALE</w:t>
      </w:r>
      <w:bookmarkEnd w:id="70"/>
      <w:bookmarkEnd w:id="71"/>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0"/>
          <w:footerReference w:type="default" r:id="rId11"/>
          <w:headerReference w:type="first" r:id="rId12"/>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Heading1"/>
        <w:spacing w:before="40" w:after="80"/>
        <w:rPr>
          <w:rFonts w:ascii="Aptos Narrow" w:eastAsia="Times New Roman" w:hAnsi="Aptos Narrow" w:cs="Times New Roman"/>
          <w:noProof/>
          <w:color w:val="002060"/>
          <w:szCs w:val="20"/>
          <w:lang w:val="ro-RO"/>
        </w:rPr>
      </w:pPr>
      <w:bookmarkStart w:id="72"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2"/>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223"/>
        <w:gridCol w:w="18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Heading1"/>
        <w:spacing w:before="40" w:after="80"/>
        <w:contextualSpacing/>
        <w:rPr>
          <w:rFonts w:ascii="Aptos Narrow" w:eastAsia="Times New Roman" w:hAnsi="Aptos Narrow" w:cs="Times New Roman"/>
          <w:noProof/>
          <w:color w:val="002060"/>
          <w:szCs w:val="20"/>
          <w:lang w:val="ro-RO"/>
        </w:rPr>
      </w:pPr>
      <w:bookmarkStart w:id="73"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3"/>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2C15FF"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Heading1"/>
        <w:spacing w:before="40" w:after="80"/>
        <w:contextualSpacing/>
        <w:rPr>
          <w:rFonts w:ascii="Aptos Narrow" w:eastAsia="Times New Roman" w:hAnsi="Aptos Narrow" w:cs="Times New Roman"/>
          <w:noProof/>
          <w:color w:val="002060"/>
          <w:szCs w:val="20"/>
          <w:lang w:val="ro-RO"/>
        </w:rPr>
      </w:pPr>
      <w:bookmarkStart w:id="74"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4"/>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lastRenderedPageBreak/>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lastRenderedPageBreak/>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lastRenderedPageBreak/>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lunar </w:t>
      </w:r>
      <w:r w:rsidRPr="00434EA7">
        <w:rPr>
          <w:rFonts w:ascii="Aptos Narrow" w:eastAsia="Times New Roman" w:hAnsi="Aptos Narrow"/>
          <w:noProof/>
          <w:sz w:val="20"/>
          <w:szCs w:val="20"/>
          <w:lang w:val="ro-RO"/>
        </w:rPr>
        <w:lastRenderedPageBreak/>
        <w:t xml:space="preserve">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lastRenderedPageBreak/>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2C15FF"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lastRenderedPageBreak/>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2C15FF"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 xml:space="preserve">Sancțiunile care vor fi applicate în cadrul activităților de salubrizare în județul Mureș sunt prezentate în tabelele de mai jos și vor finaplicate, dacă vă fi cazul, în conformitate cu prevederile </w:t>
      </w:r>
      <w:r w:rsidRPr="004048AD">
        <w:rPr>
          <w:rFonts w:ascii="Aptos Narrow" w:hAnsi="Aptos Narrow"/>
          <w:noProof/>
          <w:sz w:val="22"/>
          <w:szCs w:val="22"/>
          <w:lang w:val="ro-RO"/>
        </w:rPr>
        <w:lastRenderedPageBreak/>
        <w:t>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D729F8">
        <w:rPr>
          <w:rFonts w:asciiTheme="minorHAnsi" w:eastAsiaTheme="minorHAnsi" w:hAnsiTheme="minorHAnsi" w:cstheme="minorBidi"/>
          <w:b/>
          <w:bCs/>
          <w:i/>
          <w:iCs/>
          <w:kern w:val="2"/>
          <w:sz w:val="28"/>
          <w:szCs w:val="28"/>
          <w:lang w:val="en-US"/>
          <w14:ligatures w14:val="standardContextual"/>
        </w:rPr>
        <w:t xml:space="preserve">a.  </w:t>
      </w:r>
      <w:bookmarkStart w:id="75"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5"/>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r w:rsidRPr="004048AD">
              <w:rPr>
                <w:rFonts w:asciiTheme="minorHAnsi" w:eastAsiaTheme="minorHAnsi" w:hAnsiTheme="minorHAnsi" w:cstheme="minorBidi"/>
                <w:b/>
                <w:bCs/>
                <w:sz w:val="22"/>
                <w:szCs w:val="22"/>
                <w:lang w:val="en-US"/>
              </w:rPr>
              <w:t xml:space="preserve">Nr.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lit.b</w:t>
            </w:r>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lit.a</w:t>
            </w:r>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lit.c</w:t>
            </w:r>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lit.a</w:t>
            </w:r>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lit.b</w:t>
            </w:r>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w:t>
            </w:r>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lit.d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Practicarea unor preţuri şi/sau tarife neaprobate sau mai mari decât cele aprobate de autorităţile administraţiei publice locale, de asociaţiile de dezvoltare intercomunitară având ca scop serviciile de utilităţi publice sau de autoritatea de reglementare competentă, după caz, în </w:t>
            </w:r>
            <w:r w:rsidRPr="004048AD">
              <w:rPr>
                <w:rFonts w:ascii="Aptos Narrow" w:eastAsia="Times New Roman" w:hAnsi="Aptos Narrow" w:cs="Tahoma"/>
                <w:i/>
                <w:sz w:val="22"/>
                <w:szCs w:val="22"/>
                <w:lang w:val="ro-RO"/>
              </w:rPr>
              <w:lastRenderedPageBreak/>
              <w:t>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6" w:name="_Hlk210733910"/>
            <w:r w:rsidRPr="004048AD">
              <w:rPr>
                <w:rFonts w:ascii="Aptos Narrow" w:eastAsia="Times New Roman" w:hAnsi="Aptos Narrow" w:cs="Tahoma"/>
                <w:i/>
                <w:sz w:val="22"/>
                <w:szCs w:val="22"/>
                <w:lang w:val="ro-RO"/>
              </w:rPr>
              <w:lastRenderedPageBreak/>
              <w:t xml:space="preserve">Legea 51/2006 art. 47 alin.(4) </w:t>
            </w:r>
            <w:bookmarkEnd w:id="76"/>
            <w:r w:rsidRPr="004048AD">
              <w:rPr>
                <w:rFonts w:ascii="Aptos Narrow" w:eastAsia="Times New Roman" w:hAnsi="Aptos Narrow" w:cs="Tahoma"/>
                <w:i/>
                <w:sz w:val="22"/>
                <w:szCs w:val="22"/>
                <w:lang w:val="ro-RO"/>
              </w:rPr>
              <w:t>lit.e</w:t>
            </w:r>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lit.h</w:t>
            </w:r>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recipienților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lit.a) din OUG nr.92/2021 privind regimul deșeurilor-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w:t>
      </w: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(art.62 alin.(1) lit.b) din OUG 92/2021 privind regimul deşeurilor-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Modificarea neautorizată de către utilizatori a instalaţiilor, utilajelor, echipamentelor şi a dotărilor aferente sistemelor de utilităţi publice (art.47 alin.(1) lit.e)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Abandonarea, aruncarea, precum și ascunderea deșeurilor  (art.62 alin.(1) lit.b) din OUG 92/2021 privind regimul deşeurilor-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Eliminarea, deținerea, păstrarea deșeurilor în afara spațiilor autorizate în acest scop (art.62 alin.(1) lit.b) din OUG 92/2021 privind regimul deşeurilor-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colectării separate a cel puțin următoarelor categorii de deșeuri: hârtie, metal, plastic și sticlă , iar din 1 ianuarie 2025 textile (art.62 alin.(1) lit.a) din O.U.G 92/2021 privind regimul deşeurilor-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voluntar.  (art.62 alin.(6) din Legea nr.101/2006- pentru nerespectarea art.33 alin.(6) lit.d)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a </w:t>
            </w:r>
            <w:hyperlink r:id="rId13"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de stabilire a unei liste de deşeuri în temeiul </w:t>
            </w:r>
            <w:hyperlink r:id="rId14"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lit.a) din O.U.G 92/2021 privind regimul deşeurilor, pentru </w:t>
            </w:r>
            <w:r w:rsidRPr="004048AD">
              <w:rPr>
                <w:rFonts w:ascii="Aptos Narrow" w:eastAsia="Times New Roman" w:hAnsi="Aptos Narrow" w:cs="Tahoma"/>
                <w:i/>
                <w:sz w:val="22"/>
                <w:szCs w:val="22"/>
                <w:lang w:val="ro-RO"/>
              </w:rPr>
              <w:lastRenderedPageBreak/>
              <w:t>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Îngroparea deșeurilor de orice fel (art.62 alin.(1) lit.b) din OUG 92/2021 privind regimul deşeurilor-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obligației persoanelor fizice de a depune deșeurile provenite din gospodărie, pe tipuri, în sistemul de colectare separată a deșeurilor municipale, inclusiv în centrele de colectare (art.62 alin.(1) lit.c)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În cazul confiscării vehiculului, contravenientul </w:t>
      </w: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În aplicarea dispozițiilor art.17 alin.(5) lit.i)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Pr="004048AD"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sectPr w:rsidR="002438F6" w:rsidRPr="004048AD" w:rsidSect="00EB63B9">
      <w:footerReference w:type="first" r:id="rId15"/>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B00F6" w14:textId="77777777" w:rsidR="002C15FF" w:rsidRDefault="002C15FF" w:rsidP="00D55946">
      <w:pPr>
        <w:spacing w:after="0"/>
      </w:pPr>
      <w:r>
        <w:separator/>
      </w:r>
    </w:p>
  </w:endnote>
  <w:endnote w:type="continuationSeparator" w:id="0">
    <w:p w14:paraId="1689104B" w14:textId="77777777" w:rsidR="002C15FF" w:rsidRDefault="002C15FF"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EndPr/>
        <w:sdtContent>
          <w:p w14:paraId="015C8F59" w14:textId="425C8540" w:rsidR="00114B20" w:rsidRPr="000879A7" w:rsidRDefault="00114B20">
            <w:pPr>
              <w:pStyle w:val="Footer"/>
              <w:jc w:val="center"/>
              <w:rPr>
                <w:rFonts w:ascii="Aptos Narrow" w:hAnsi="Aptos Narrow"/>
                <w:color w:val="002060"/>
                <w:sz w:val="18"/>
                <w:szCs w:val="18"/>
              </w:rPr>
            </w:pPr>
            <w:r w:rsidRPr="000879A7">
              <w:rPr>
                <w:rFonts w:ascii="Aptos Narrow" w:hAnsi="Aptos Narrow"/>
                <w:color w:val="002060"/>
                <w:sz w:val="18"/>
                <w:szCs w:val="18"/>
                <w:lang w:val="ro-RO"/>
              </w:rPr>
              <w:t>Pag</w:t>
            </w:r>
            <w:r w:rsidR="000879A7">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00150E13">
              <w:rPr>
                <w:rFonts w:ascii="Aptos Narrow" w:hAnsi="Aptos Narrow"/>
                <w:b/>
                <w:bCs/>
                <w:noProof/>
                <w:color w:val="002060"/>
                <w:sz w:val="18"/>
                <w:szCs w:val="18"/>
              </w:rPr>
              <w:t>21</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sidR="001D17A2">
              <w:rPr>
                <w:rFonts w:ascii="Aptos Narrow" w:hAnsi="Aptos Narrow"/>
                <w:b/>
                <w:bCs/>
                <w:color w:val="002060"/>
                <w:sz w:val="18"/>
                <w:szCs w:val="18"/>
              </w:rPr>
              <w:t>54</w:t>
            </w:r>
          </w:p>
        </w:sdtContent>
      </w:sdt>
    </w:sdtContent>
  </w:sdt>
  <w:p w14:paraId="656774E9" w14:textId="77777777" w:rsidR="00B54558" w:rsidRPr="00114B20" w:rsidRDefault="00B54558" w:rsidP="00114B20">
    <w:pPr>
      <w:pStyle w:val="Footer"/>
      <w:rPr>
        <w:lang w:val="ro-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EndPr/>
        <w:sdtContent>
          <w:p w14:paraId="5CC2A2AF" w14:textId="77777777" w:rsidR="00637E55" w:rsidRPr="00114B20" w:rsidRDefault="00637E55" w:rsidP="00637E55">
            <w:pPr>
              <w:pStyle w:val="Footer"/>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sidR="00150E13">
              <w:rPr>
                <w:rFonts w:ascii="Aptos Narrow" w:hAnsi="Aptos Narrow"/>
                <w:b/>
                <w:bCs/>
                <w:noProof/>
                <w:sz w:val="18"/>
                <w:szCs w:val="18"/>
              </w:rPr>
              <w:t>39</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sidR="00150E13">
              <w:rPr>
                <w:rFonts w:ascii="Aptos Narrow" w:hAnsi="Aptos Narrow"/>
                <w:b/>
                <w:bCs/>
                <w:noProof/>
                <w:sz w:val="18"/>
                <w:szCs w:val="18"/>
              </w:rPr>
              <w:t>40</w:t>
            </w:r>
            <w:r w:rsidRPr="00114B20">
              <w:rPr>
                <w:rFonts w:ascii="Aptos Narrow" w:hAnsi="Aptos Narrow"/>
                <w:b/>
                <w:bCs/>
                <w:sz w:val="18"/>
                <w:szCs w:val="18"/>
              </w:rPr>
              <w:fldChar w:fldCharType="end"/>
            </w:r>
          </w:p>
        </w:sdtContent>
      </w:sdt>
    </w:sdtContent>
  </w:sdt>
  <w:p w14:paraId="23A0CF74" w14:textId="5864A9B0" w:rsidR="00D10822" w:rsidRDefault="00D10822" w:rsidP="00637E5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6E1925" w14:textId="77777777" w:rsidR="002C15FF" w:rsidRDefault="002C15FF" w:rsidP="00D55946">
      <w:pPr>
        <w:spacing w:after="0"/>
      </w:pPr>
      <w:r>
        <w:separator/>
      </w:r>
    </w:p>
  </w:footnote>
  <w:footnote w:type="continuationSeparator" w:id="0">
    <w:p w14:paraId="243B5567" w14:textId="77777777" w:rsidR="002C15FF" w:rsidRDefault="002C15FF" w:rsidP="00D559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ABD0D" w14:textId="4B347D3B" w:rsidR="00C3329E" w:rsidRPr="0087290A" w:rsidRDefault="0041649D" w:rsidP="0087290A">
    <w:pPr>
      <w:pStyle w:val="Header"/>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6B820" w14:textId="37FCF3D2" w:rsidR="00D23172" w:rsidRDefault="00D23172" w:rsidP="00196FA4">
    <w:pPr>
      <w:pStyle w:val="Header"/>
      <w:ind w:left="142" w:hanging="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64"/>
  </w:num>
  <w:num w:numId="3">
    <w:abstractNumId w:val="46"/>
  </w:num>
  <w:num w:numId="4">
    <w:abstractNumId w:val="102"/>
  </w:num>
  <w:num w:numId="5">
    <w:abstractNumId w:val="107"/>
  </w:num>
  <w:num w:numId="6">
    <w:abstractNumId w:val="26"/>
  </w:num>
  <w:num w:numId="7">
    <w:abstractNumId w:val="99"/>
  </w:num>
  <w:num w:numId="8">
    <w:abstractNumId w:val="12"/>
  </w:num>
  <w:num w:numId="9">
    <w:abstractNumId w:val="28"/>
  </w:num>
  <w:num w:numId="10">
    <w:abstractNumId w:val="32"/>
  </w:num>
  <w:num w:numId="11">
    <w:abstractNumId w:val="51"/>
  </w:num>
  <w:num w:numId="12">
    <w:abstractNumId w:val="91"/>
  </w:num>
  <w:num w:numId="13">
    <w:abstractNumId w:val="6"/>
  </w:num>
  <w:num w:numId="14">
    <w:abstractNumId w:val="87"/>
  </w:num>
  <w:num w:numId="15">
    <w:abstractNumId w:val="29"/>
  </w:num>
  <w:num w:numId="16">
    <w:abstractNumId w:val="38"/>
  </w:num>
  <w:num w:numId="17">
    <w:abstractNumId w:val="44"/>
  </w:num>
  <w:num w:numId="18">
    <w:abstractNumId w:val="103"/>
  </w:num>
  <w:num w:numId="19">
    <w:abstractNumId w:val="72"/>
  </w:num>
  <w:num w:numId="20">
    <w:abstractNumId w:val="62"/>
  </w:num>
  <w:num w:numId="21">
    <w:abstractNumId w:val="88"/>
  </w:num>
  <w:num w:numId="22">
    <w:abstractNumId w:val="95"/>
  </w:num>
  <w:num w:numId="23">
    <w:abstractNumId w:val="30"/>
  </w:num>
  <w:num w:numId="24">
    <w:abstractNumId w:val="90"/>
  </w:num>
  <w:num w:numId="25">
    <w:abstractNumId w:val="81"/>
  </w:num>
  <w:num w:numId="26">
    <w:abstractNumId w:val="59"/>
  </w:num>
  <w:num w:numId="27">
    <w:abstractNumId w:val="17"/>
  </w:num>
  <w:num w:numId="28">
    <w:abstractNumId w:val="31"/>
  </w:num>
  <w:num w:numId="29">
    <w:abstractNumId w:val="56"/>
  </w:num>
  <w:num w:numId="30">
    <w:abstractNumId w:val="97"/>
  </w:num>
  <w:num w:numId="31">
    <w:abstractNumId w:val="43"/>
  </w:num>
  <w:num w:numId="32">
    <w:abstractNumId w:val="1"/>
  </w:num>
  <w:num w:numId="33">
    <w:abstractNumId w:val="57"/>
  </w:num>
  <w:num w:numId="34">
    <w:abstractNumId w:val="20"/>
  </w:num>
  <w:num w:numId="35">
    <w:abstractNumId w:val="47"/>
  </w:num>
  <w:num w:numId="36">
    <w:abstractNumId w:val="65"/>
  </w:num>
  <w:num w:numId="37">
    <w:abstractNumId w:val="24"/>
  </w:num>
  <w:num w:numId="38">
    <w:abstractNumId w:val="101"/>
  </w:num>
  <w:num w:numId="39">
    <w:abstractNumId w:val="106"/>
  </w:num>
  <w:num w:numId="40">
    <w:abstractNumId w:val="100"/>
  </w:num>
  <w:num w:numId="41">
    <w:abstractNumId w:val="83"/>
  </w:num>
  <w:num w:numId="42">
    <w:abstractNumId w:val="37"/>
  </w:num>
  <w:num w:numId="43">
    <w:abstractNumId w:val="67"/>
  </w:num>
  <w:num w:numId="44">
    <w:abstractNumId w:val="21"/>
  </w:num>
  <w:num w:numId="45">
    <w:abstractNumId w:val="3"/>
  </w:num>
  <w:num w:numId="46">
    <w:abstractNumId w:val="55"/>
  </w:num>
  <w:num w:numId="47">
    <w:abstractNumId w:val="25"/>
  </w:num>
  <w:num w:numId="48">
    <w:abstractNumId w:val="76"/>
  </w:num>
  <w:num w:numId="49">
    <w:abstractNumId w:val="39"/>
  </w:num>
  <w:num w:numId="50">
    <w:abstractNumId w:val="86"/>
  </w:num>
  <w:num w:numId="51">
    <w:abstractNumId w:val="45"/>
  </w:num>
  <w:num w:numId="52">
    <w:abstractNumId w:val="104"/>
  </w:num>
  <w:num w:numId="53">
    <w:abstractNumId w:val="8"/>
  </w:num>
  <w:num w:numId="54">
    <w:abstractNumId w:val="60"/>
  </w:num>
  <w:num w:numId="55">
    <w:abstractNumId w:val="78"/>
  </w:num>
  <w:num w:numId="56">
    <w:abstractNumId w:val="40"/>
  </w:num>
  <w:num w:numId="57">
    <w:abstractNumId w:val="22"/>
  </w:num>
  <w:num w:numId="58">
    <w:abstractNumId w:val="48"/>
  </w:num>
  <w:num w:numId="59">
    <w:abstractNumId w:val="16"/>
  </w:num>
  <w:num w:numId="60">
    <w:abstractNumId w:val="19"/>
  </w:num>
  <w:num w:numId="61">
    <w:abstractNumId w:val="5"/>
  </w:num>
  <w:num w:numId="62">
    <w:abstractNumId w:val="11"/>
  </w:num>
  <w:num w:numId="63">
    <w:abstractNumId w:val="36"/>
  </w:num>
  <w:num w:numId="64">
    <w:abstractNumId w:val="23"/>
  </w:num>
  <w:num w:numId="65">
    <w:abstractNumId w:val="50"/>
  </w:num>
  <w:num w:numId="66">
    <w:abstractNumId w:val="41"/>
  </w:num>
  <w:num w:numId="67">
    <w:abstractNumId w:val="14"/>
  </w:num>
  <w:num w:numId="68">
    <w:abstractNumId w:val="52"/>
  </w:num>
  <w:num w:numId="69">
    <w:abstractNumId w:val="85"/>
  </w:num>
  <w:num w:numId="70">
    <w:abstractNumId w:val="49"/>
  </w:num>
  <w:num w:numId="71">
    <w:abstractNumId w:val="7"/>
  </w:num>
  <w:num w:numId="72">
    <w:abstractNumId w:val="74"/>
  </w:num>
  <w:num w:numId="73">
    <w:abstractNumId w:val="84"/>
  </w:num>
  <w:num w:numId="74">
    <w:abstractNumId w:val="66"/>
  </w:num>
  <w:num w:numId="75">
    <w:abstractNumId w:val="63"/>
  </w:num>
  <w:num w:numId="76">
    <w:abstractNumId w:val="82"/>
  </w:num>
  <w:num w:numId="77">
    <w:abstractNumId w:val="77"/>
  </w:num>
  <w:num w:numId="78">
    <w:abstractNumId w:val="71"/>
  </w:num>
  <w:num w:numId="79">
    <w:abstractNumId w:val="96"/>
  </w:num>
  <w:num w:numId="80">
    <w:abstractNumId w:val="27"/>
  </w:num>
  <w:num w:numId="81">
    <w:abstractNumId w:val="0"/>
  </w:num>
  <w:num w:numId="82">
    <w:abstractNumId w:val="54"/>
  </w:num>
  <w:num w:numId="83">
    <w:abstractNumId w:val="33"/>
  </w:num>
  <w:num w:numId="84">
    <w:abstractNumId w:val="93"/>
  </w:num>
  <w:num w:numId="85">
    <w:abstractNumId w:val="68"/>
  </w:num>
  <w:num w:numId="86">
    <w:abstractNumId w:val="108"/>
  </w:num>
  <w:num w:numId="87">
    <w:abstractNumId w:val="42"/>
  </w:num>
  <w:num w:numId="88">
    <w:abstractNumId w:val="2"/>
  </w:num>
  <w:num w:numId="89">
    <w:abstractNumId w:val="69"/>
  </w:num>
  <w:num w:numId="90">
    <w:abstractNumId w:val="9"/>
  </w:num>
  <w:num w:numId="91">
    <w:abstractNumId w:val="94"/>
  </w:num>
  <w:num w:numId="92">
    <w:abstractNumId w:val="73"/>
  </w:num>
  <w:num w:numId="93">
    <w:abstractNumId w:val="75"/>
  </w:num>
  <w:num w:numId="94">
    <w:abstractNumId w:val="58"/>
  </w:num>
  <w:num w:numId="95">
    <w:abstractNumId w:val="13"/>
  </w:num>
  <w:num w:numId="96">
    <w:abstractNumId w:val="79"/>
  </w:num>
  <w:num w:numId="97">
    <w:abstractNumId w:val="98"/>
  </w:num>
  <w:num w:numId="98">
    <w:abstractNumId w:val="4"/>
  </w:num>
  <w:num w:numId="99">
    <w:abstractNumId w:val="15"/>
  </w:num>
  <w:num w:numId="100">
    <w:abstractNumId w:val="92"/>
  </w:num>
  <w:num w:numId="101">
    <w:abstractNumId w:val="80"/>
  </w:num>
  <w:num w:numId="102">
    <w:abstractNumId w:val="53"/>
  </w:num>
  <w:num w:numId="103">
    <w:abstractNumId w:val="105"/>
  </w:num>
  <w:num w:numId="104">
    <w:abstractNumId w:val="35"/>
  </w:num>
  <w:num w:numId="105">
    <w:abstractNumId w:val="70"/>
  </w:num>
  <w:num w:numId="106">
    <w:abstractNumId w:val="18"/>
  </w:num>
  <w:num w:numId="107">
    <w:abstractNumId w:val="34"/>
  </w:num>
  <w:num w:numId="108">
    <w:abstractNumId w:val="61"/>
  </w:num>
  <w:num w:numId="10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0E13"/>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B98"/>
    <w:rsid w:val="00213C0A"/>
    <w:rsid w:val="00213C92"/>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5FF"/>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46C3"/>
    <w:rsid w:val="00684954"/>
    <w:rsid w:val="00684A9D"/>
    <w:rsid w:val="00684D74"/>
    <w:rsid w:val="00684FB1"/>
    <w:rsid w:val="00684FC1"/>
    <w:rsid w:val="00684FFD"/>
    <w:rsid w:val="006850C2"/>
    <w:rsid w:val="00685474"/>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4E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ADD"/>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B8768"/>
  <w15:docId w15:val="{05546034-9A32-49F1-BCC8-B4039DE8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plus.ro/Intralegis6/oficiale/afis.php?f=263478&amp;datavig=2023-01-30&amp;datav=2023-01-30&amp;dataact=&amp;showLM=&amp;modBefor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PlaceholderText"/>
            </w:rPr>
            <w:t>Choose an item.</w:t>
          </w:r>
        </w:p>
      </w:docPartBody>
    </w:docPart>
    <w:docPart>
      <w:docPartPr>
        <w:name w:val="25578EE51A88483C8572BF223357B4D0"/>
        <w:category>
          <w:name w:val="General"/>
          <w:gallery w:val="placeholder"/>
        </w:category>
        <w:types>
          <w:type w:val="bbPlcHdr"/>
        </w:types>
        <w:behaviors>
          <w:behavior w:val="content"/>
        </w:behaviors>
        <w:guid w:val="{0FCFA620-0DEE-4421-ACDA-D654C3C5CB5E}"/>
      </w:docPartPr>
      <w:docPartBody>
        <w:p w:rsidR="00EB1316" w:rsidRDefault="002212A9" w:rsidP="002212A9">
          <w:pPr>
            <w:pStyle w:val="25578EE51A88483C8572BF223357B4D0"/>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12A92"/>
    <w:rsid w:val="003D6ABF"/>
    <w:rsid w:val="004073C9"/>
    <w:rsid w:val="00431A89"/>
    <w:rsid w:val="004C1EA8"/>
    <w:rsid w:val="004F45DD"/>
    <w:rsid w:val="005904C8"/>
    <w:rsid w:val="00596D9B"/>
    <w:rsid w:val="00607420"/>
    <w:rsid w:val="006C6262"/>
    <w:rsid w:val="006C744F"/>
    <w:rsid w:val="007555DB"/>
    <w:rsid w:val="00777EE5"/>
    <w:rsid w:val="007A2C9E"/>
    <w:rsid w:val="007E21F7"/>
    <w:rsid w:val="008009E9"/>
    <w:rsid w:val="00996B8B"/>
    <w:rsid w:val="009E7F86"/>
    <w:rsid w:val="00A215E1"/>
    <w:rsid w:val="00A31848"/>
    <w:rsid w:val="00AE779B"/>
    <w:rsid w:val="00B05EC1"/>
    <w:rsid w:val="00B17E45"/>
    <w:rsid w:val="00B51E1A"/>
    <w:rsid w:val="00B659A6"/>
    <w:rsid w:val="00BA0AB0"/>
    <w:rsid w:val="00BA66F9"/>
    <w:rsid w:val="00BB199A"/>
    <w:rsid w:val="00C526BC"/>
    <w:rsid w:val="00C65E11"/>
    <w:rsid w:val="00CB0A15"/>
    <w:rsid w:val="00D1276A"/>
    <w:rsid w:val="00D31F25"/>
    <w:rsid w:val="00DC209F"/>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542F5A-51C1-4D23-B369-238C0310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26211</Words>
  <Characters>149407</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claudia.luca</dc:creator>
  <cp:keywords/>
  <dc:description/>
  <cp:lastModifiedBy>admin</cp:lastModifiedBy>
  <cp:revision>10</cp:revision>
  <cp:lastPrinted>2022-11-28T14:13:00Z</cp:lastPrinted>
  <dcterms:created xsi:type="dcterms:W3CDTF">2025-10-31T06:59:00Z</dcterms:created>
  <dcterms:modified xsi:type="dcterms:W3CDTF">2026-01-14T09:30:00Z</dcterms:modified>
</cp:coreProperties>
</file>